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755" w:rsidRPr="00343755" w:rsidRDefault="00343755" w:rsidP="00343755">
      <w:pPr>
        <w:jc w:val="center"/>
        <w:rPr>
          <w:rFonts w:ascii="Arial" w:hAnsi="Arial" w:cs="Arial"/>
          <w:b/>
          <w:sz w:val="24"/>
          <w:szCs w:val="24"/>
        </w:rPr>
      </w:pPr>
      <w:r w:rsidRPr="00343755">
        <w:rPr>
          <w:rFonts w:ascii="Arial" w:hAnsi="Arial" w:cs="Arial"/>
          <w:b/>
          <w:sz w:val="24"/>
          <w:szCs w:val="24"/>
        </w:rPr>
        <w:t>Tabel comparativ</w:t>
      </w:r>
    </w:p>
    <w:p w:rsidR="00343755" w:rsidRPr="00343755" w:rsidRDefault="00343755" w:rsidP="00343755">
      <w:pPr>
        <w:jc w:val="center"/>
        <w:rPr>
          <w:rFonts w:ascii="Arial" w:hAnsi="Arial" w:cs="Arial"/>
          <w:b/>
          <w:sz w:val="24"/>
          <w:szCs w:val="24"/>
        </w:rPr>
      </w:pPr>
      <w:r w:rsidRPr="00343755">
        <w:rPr>
          <w:rFonts w:ascii="Arial" w:hAnsi="Arial" w:cs="Arial"/>
          <w:b/>
          <w:sz w:val="24"/>
          <w:szCs w:val="24"/>
        </w:rPr>
        <w:t xml:space="preserve">Ordonanță  </w:t>
      </w:r>
    </w:p>
    <w:p w:rsidR="00343755" w:rsidRPr="00343755" w:rsidRDefault="00343755" w:rsidP="00343755">
      <w:pPr>
        <w:spacing w:after="200"/>
        <w:jc w:val="center"/>
        <w:rPr>
          <w:rFonts w:ascii="Arial" w:hAnsi="Arial" w:cs="Arial"/>
          <w:b/>
          <w:sz w:val="24"/>
          <w:szCs w:val="24"/>
        </w:rPr>
      </w:pPr>
      <w:r w:rsidRPr="00343755">
        <w:rPr>
          <w:rFonts w:ascii="Arial" w:hAnsi="Arial" w:cs="Arial"/>
          <w:b/>
          <w:sz w:val="24"/>
          <w:szCs w:val="24"/>
        </w:rPr>
        <w:t xml:space="preserve">pentru modificarea articolului 21 din </w:t>
      </w:r>
      <w:r w:rsidRPr="00343755">
        <w:rPr>
          <w:rStyle w:val="do1"/>
          <w:rFonts w:ascii="Arial" w:hAnsi="Arial" w:cs="Arial"/>
          <w:sz w:val="24"/>
          <w:szCs w:val="24"/>
        </w:rPr>
        <w:t>Ordonanța Guvernului nr. 51/1998 privind îmbunătăţirea sistemului de finanţare nerambursabilă a proiectelor culturale</w:t>
      </w:r>
    </w:p>
    <w:tbl>
      <w:tblPr>
        <w:tblStyle w:val="TableGrid"/>
        <w:tblW w:w="10774" w:type="dxa"/>
        <w:tblInd w:w="-714" w:type="dxa"/>
        <w:tblLook w:val="04A0" w:firstRow="1" w:lastRow="0" w:firstColumn="1" w:lastColumn="0" w:noHBand="0" w:noVBand="1"/>
      </w:tblPr>
      <w:tblGrid>
        <w:gridCol w:w="5245"/>
        <w:gridCol w:w="5529"/>
      </w:tblGrid>
      <w:tr w:rsidR="00343755" w:rsidRPr="00343755" w:rsidTr="00343755">
        <w:tc>
          <w:tcPr>
            <w:tcW w:w="5245" w:type="dxa"/>
          </w:tcPr>
          <w:p w:rsidR="00343755" w:rsidRPr="00343755" w:rsidRDefault="00343755" w:rsidP="00343755">
            <w:pPr>
              <w:jc w:val="center"/>
              <w:rPr>
                <w:rFonts w:ascii="Arial" w:hAnsi="Arial" w:cs="Arial"/>
                <w:sz w:val="24"/>
                <w:szCs w:val="24"/>
              </w:rPr>
            </w:pPr>
            <w:r w:rsidRPr="00343755">
              <w:rPr>
                <w:rFonts w:ascii="Arial" w:hAnsi="Arial" w:cs="Arial"/>
                <w:sz w:val="24"/>
                <w:szCs w:val="24"/>
              </w:rPr>
              <w:t>Text in vigoare</w:t>
            </w:r>
          </w:p>
        </w:tc>
        <w:tc>
          <w:tcPr>
            <w:tcW w:w="5529" w:type="dxa"/>
          </w:tcPr>
          <w:p w:rsidR="00343755" w:rsidRPr="00343755" w:rsidRDefault="00343755" w:rsidP="00343755">
            <w:pPr>
              <w:jc w:val="center"/>
              <w:rPr>
                <w:rFonts w:ascii="Arial" w:hAnsi="Arial" w:cs="Arial"/>
                <w:sz w:val="24"/>
                <w:szCs w:val="24"/>
              </w:rPr>
            </w:pPr>
            <w:r w:rsidRPr="00343755">
              <w:rPr>
                <w:rFonts w:ascii="Arial" w:hAnsi="Arial" w:cs="Arial"/>
                <w:sz w:val="24"/>
                <w:szCs w:val="24"/>
              </w:rPr>
              <w:t>Propunere modificare</w:t>
            </w:r>
          </w:p>
        </w:tc>
      </w:tr>
      <w:tr w:rsidR="00343755" w:rsidRPr="00343755" w:rsidTr="00343755">
        <w:tc>
          <w:tcPr>
            <w:tcW w:w="5245" w:type="dxa"/>
          </w:tcPr>
          <w:p w:rsidR="00343755" w:rsidRPr="00343755" w:rsidRDefault="00343755" w:rsidP="00343755">
            <w:pPr>
              <w:jc w:val="center"/>
              <w:rPr>
                <w:rFonts w:ascii="Arial" w:hAnsi="Arial" w:cs="Arial"/>
                <w:sz w:val="24"/>
                <w:szCs w:val="24"/>
              </w:rPr>
            </w:pPr>
            <w:r w:rsidRPr="00343755">
              <w:rPr>
                <w:rFonts w:ascii="Arial" w:hAnsi="Arial" w:cs="Arial"/>
                <w:sz w:val="24"/>
                <w:szCs w:val="24"/>
              </w:rPr>
              <w:t>Art 21 alin (1)</w:t>
            </w:r>
          </w:p>
          <w:p w:rsidR="00343755" w:rsidRPr="00343755" w:rsidRDefault="00343755" w:rsidP="00343755">
            <w:pPr>
              <w:shd w:val="clear" w:color="auto" w:fill="FFFFFF"/>
              <w:jc w:val="both"/>
              <w:rPr>
                <w:rFonts w:ascii="Arial" w:eastAsia="Times New Roman" w:hAnsi="Arial" w:cs="Arial"/>
                <w:sz w:val="24"/>
                <w:szCs w:val="24"/>
                <w:lang w:eastAsia="ro-RO"/>
              </w:rPr>
            </w:pPr>
            <w:r w:rsidRPr="00343755">
              <w:rPr>
                <w:rFonts w:ascii="Arial" w:eastAsia="Times New Roman" w:hAnsi="Arial" w:cs="Arial"/>
                <w:sz w:val="24"/>
                <w:szCs w:val="24"/>
                <w:lang w:eastAsia="ro-RO"/>
              </w:rPr>
              <w:t xml:space="preserve">h) o cotă de 1% din veniturile realizate de operatorii economici care îşi desfăşoară activitatea în incinta monumentelor istorice proprietate publică şi/sau privată sau în zona de protecţie a acestora, în zone construite protejate, ansambluri sau situri urbane, după caz, cu excepţia activităţilor pentru care se datorează timbrul monumentelor istorice în conformitate cu prevederile art. 51 alin. (3) lit. c) din Legea nr. </w:t>
            </w:r>
            <w:hyperlink r:id="rId4" w:history="1">
              <w:r w:rsidRPr="00343755">
                <w:rPr>
                  <w:rFonts w:ascii="Arial" w:eastAsia="Times New Roman" w:hAnsi="Arial" w:cs="Arial"/>
                  <w:b/>
                  <w:bCs/>
                  <w:color w:val="333399"/>
                  <w:sz w:val="24"/>
                  <w:szCs w:val="24"/>
                  <w:u w:val="single"/>
                  <w:lang w:eastAsia="ro-RO"/>
                </w:rPr>
                <w:t>422/2001</w:t>
              </w:r>
            </w:hyperlink>
            <w:r w:rsidRPr="00343755">
              <w:rPr>
                <w:rFonts w:ascii="Arial" w:eastAsia="Times New Roman" w:hAnsi="Arial" w:cs="Arial"/>
                <w:sz w:val="24"/>
                <w:szCs w:val="24"/>
                <w:lang w:eastAsia="ro-RO"/>
              </w:rPr>
              <w:t>, republicată, cu modificările şi completările ulterioare;</w:t>
            </w:r>
          </w:p>
          <w:p w:rsidR="00343755" w:rsidRPr="00343755" w:rsidRDefault="00343755" w:rsidP="00343755">
            <w:pPr>
              <w:jc w:val="center"/>
              <w:rPr>
                <w:rFonts w:ascii="Arial" w:hAnsi="Arial" w:cs="Arial"/>
                <w:sz w:val="24"/>
                <w:szCs w:val="24"/>
              </w:rPr>
            </w:pPr>
          </w:p>
        </w:tc>
        <w:tc>
          <w:tcPr>
            <w:tcW w:w="5529" w:type="dxa"/>
          </w:tcPr>
          <w:p w:rsidR="00343755" w:rsidRPr="00343755" w:rsidRDefault="00343755" w:rsidP="00343755">
            <w:pPr>
              <w:spacing w:after="200" w:line="276" w:lineRule="auto"/>
              <w:jc w:val="both"/>
              <w:rPr>
                <w:rFonts w:ascii="Arial" w:eastAsia="Times New Roman" w:hAnsi="Arial" w:cs="Arial"/>
                <w:sz w:val="24"/>
                <w:szCs w:val="24"/>
                <w:lang w:eastAsia="ro-RO"/>
              </w:rPr>
            </w:pPr>
            <w:r w:rsidRPr="00343755">
              <w:rPr>
                <w:rFonts w:ascii="Arial" w:hAnsi="Arial" w:cs="Arial"/>
                <w:b/>
                <w:sz w:val="24"/>
                <w:szCs w:val="24"/>
              </w:rPr>
              <w:t>La articolul 21, alin. (1), litera h) din</w:t>
            </w:r>
            <w:r w:rsidRPr="00343755">
              <w:rPr>
                <w:rFonts w:ascii="Arial" w:hAnsi="Arial" w:cs="Arial"/>
                <w:sz w:val="24"/>
                <w:szCs w:val="24"/>
              </w:rPr>
              <w:t xml:space="preserve"> </w:t>
            </w:r>
            <w:r w:rsidRPr="00343755">
              <w:rPr>
                <w:rFonts w:ascii="Arial" w:hAnsi="Arial" w:cs="Arial"/>
                <w:b/>
                <w:sz w:val="24"/>
                <w:szCs w:val="24"/>
              </w:rPr>
              <w:t xml:space="preserve">Ordonanţa Guvernului nr. 51/1998 </w:t>
            </w:r>
            <w:r w:rsidRPr="00343755">
              <w:rPr>
                <w:rStyle w:val="do1"/>
                <w:rFonts w:ascii="Arial" w:hAnsi="Arial" w:cs="Arial"/>
                <w:sz w:val="24"/>
                <w:szCs w:val="24"/>
              </w:rPr>
              <w:t>privind îmbunătăţirea sistemului de finanţare nerambursabilă a proiectelor culturale</w:t>
            </w:r>
            <w:r w:rsidRPr="00343755">
              <w:rPr>
                <w:rFonts w:ascii="Arial" w:hAnsi="Arial" w:cs="Arial"/>
                <w:b/>
                <w:sz w:val="24"/>
                <w:szCs w:val="24"/>
              </w:rPr>
              <w:t>, publicată în Monitorul Oficial cu numărul 296 din data de 13 august 1998, aprobată cu modificări și completări prin Legea nr. 245/2001, cu modificările și completările ulterioare, se modifică după cum urmează:</w:t>
            </w:r>
          </w:p>
          <w:p w:rsidR="00343755" w:rsidRPr="00343755" w:rsidRDefault="00343755" w:rsidP="00343755">
            <w:pPr>
              <w:shd w:val="clear" w:color="auto" w:fill="FFFFFF"/>
              <w:jc w:val="both"/>
              <w:rPr>
                <w:rFonts w:ascii="Arial" w:hAnsi="Arial" w:cs="Arial"/>
                <w:sz w:val="24"/>
                <w:szCs w:val="24"/>
                <w:lang w:eastAsia="ro-RO"/>
              </w:rPr>
            </w:pPr>
            <w:r w:rsidRPr="00343755">
              <w:rPr>
                <w:rStyle w:val="tpa1"/>
                <w:rFonts w:ascii="Arial" w:hAnsi="Arial" w:cs="Arial"/>
                <w:b/>
                <w:sz w:val="24"/>
                <w:szCs w:val="24"/>
              </w:rPr>
              <w:t xml:space="preserve">” </w:t>
            </w:r>
            <w:bookmarkStart w:id="0" w:name="do|ar1|pt12|pa5"/>
            <w:bookmarkEnd w:id="0"/>
            <w:r w:rsidRPr="00343755">
              <w:rPr>
                <w:rStyle w:val="tpa1"/>
                <w:rFonts w:ascii="Arial" w:hAnsi="Arial" w:cs="Arial"/>
                <w:sz w:val="24"/>
                <w:szCs w:val="24"/>
              </w:rPr>
              <w:t>h) o cotă de 1% din veniturile realizate de operatorii economici, care îşi desfăşoară activitatea în incinta imobilelor având regim juridic de monumente istorice proprietate publică şi/sau privată</w:t>
            </w:r>
            <w:r w:rsidR="00BB385E">
              <w:rPr>
                <w:rStyle w:val="tpa1"/>
                <w:rFonts w:ascii="Arial" w:hAnsi="Arial" w:cs="Arial"/>
                <w:sz w:val="24"/>
                <w:szCs w:val="24"/>
              </w:rPr>
              <w:t>,</w:t>
            </w:r>
            <w:bookmarkStart w:id="1" w:name="_GoBack"/>
            <w:bookmarkEnd w:id="1"/>
            <w:r w:rsidR="00BB385E">
              <w:rPr>
                <w:rStyle w:val="tpa1"/>
                <w:rFonts w:ascii="Arial" w:hAnsi="Arial" w:cs="Arial"/>
                <w:sz w:val="24"/>
                <w:szCs w:val="24"/>
              </w:rPr>
              <w:t xml:space="preserve"> </w:t>
            </w:r>
            <w:r w:rsidR="00BB385E" w:rsidRPr="00BB385E">
              <w:rPr>
                <w:rStyle w:val="tpa1"/>
                <w:rFonts w:ascii="Arial" w:hAnsi="Arial" w:cs="Arial"/>
                <w:sz w:val="24"/>
                <w:szCs w:val="24"/>
              </w:rPr>
              <w:t>cu excepţia activităţilor pentru care se datorează timbrul monumentelor istorice în conformitate cu prevederile art. 51 alin. (3) lit. c) din Legea nr. 422/2001, republicată, cu modificările şi completările ulterioare;</w:t>
            </w:r>
            <w:r w:rsidRPr="00343755">
              <w:rPr>
                <w:rStyle w:val="tpa1"/>
                <w:rFonts w:ascii="Arial" w:hAnsi="Arial" w:cs="Arial"/>
                <w:sz w:val="24"/>
                <w:szCs w:val="24"/>
              </w:rPr>
              <w:t>„</w:t>
            </w:r>
          </w:p>
          <w:p w:rsidR="00343755" w:rsidRPr="00343755" w:rsidRDefault="00343755" w:rsidP="00343755">
            <w:pPr>
              <w:jc w:val="center"/>
              <w:rPr>
                <w:rFonts w:ascii="Arial" w:hAnsi="Arial" w:cs="Arial"/>
                <w:sz w:val="24"/>
                <w:szCs w:val="24"/>
              </w:rPr>
            </w:pPr>
          </w:p>
        </w:tc>
      </w:tr>
    </w:tbl>
    <w:p w:rsidR="00343755" w:rsidRPr="00343755" w:rsidRDefault="00343755" w:rsidP="00343755">
      <w:pPr>
        <w:jc w:val="center"/>
        <w:rPr>
          <w:rFonts w:ascii="Arial" w:hAnsi="Arial" w:cs="Arial"/>
          <w:sz w:val="24"/>
          <w:szCs w:val="24"/>
        </w:rPr>
      </w:pPr>
    </w:p>
    <w:sectPr w:rsidR="00343755" w:rsidRPr="003437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755"/>
    <w:rsid w:val="00343755"/>
    <w:rsid w:val="00913C3F"/>
    <w:rsid w:val="00BB38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383362-2A72-4D8D-93C3-283E0CDE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1">
    <w:name w:val="do1"/>
    <w:rsid w:val="00343755"/>
    <w:rPr>
      <w:b/>
      <w:bCs/>
      <w:sz w:val="26"/>
      <w:szCs w:val="26"/>
    </w:rPr>
  </w:style>
  <w:style w:type="table" w:styleId="TableGrid">
    <w:name w:val="Table Grid"/>
    <w:basedOn w:val="TableNormal"/>
    <w:uiPriority w:val="39"/>
    <w:rsid w:val="00343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a1">
    <w:name w:val="tpa1"/>
    <w:basedOn w:val="DefaultParagraphFont"/>
    <w:rsid w:val="00343755"/>
  </w:style>
  <w:style w:type="character" w:styleId="Hyperlink">
    <w:name w:val="Hyperlink"/>
    <w:basedOn w:val="DefaultParagraphFont"/>
    <w:uiPriority w:val="99"/>
    <w:semiHidden/>
    <w:unhideWhenUsed/>
    <w:rsid w:val="00343755"/>
    <w:rPr>
      <w:b/>
      <w:bCs/>
      <w:color w:val="333399"/>
      <w:u w:val="single"/>
    </w:rPr>
  </w:style>
  <w:style w:type="paragraph" w:styleId="BalloonText">
    <w:name w:val="Balloon Text"/>
    <w:basedOn w:val="Normal"/>
    <w:link w:val="BalloonTextChar"/>
    <w:uiPriority w:val="99"/>
    <w:semiHidden/>
    <w:unhideWhenUsed/>
    <w:rsid w:val="00BB38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38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36927">
      <w:bodyDiv w:val="1"/>
      <w:marLeft w:val="0"/>
      <w:marRight w:val="0"/>
      <w:marTop w:val="0"/>
      <w:marBottom w:val="0"/>
      <w:divBdr>
        <w:top w:val="none" w:sz="0" w:space="0" w:color="auto"/>
        <w:left w:val="none" w:sz="0" w:space="0" w:color="auto"/>
        <w:bottom w:val="none" w:sz="0" w:space="0" w:color="auto"/>
        <w:right w:val="none" w:sz="0" w:space="0" w:color="auto"/>
      </w:divBdr>
      <w:divsChild>
        <w:div w:id="929318974">
          <w:marLeft w:val="0"/>
          <w:marRight w:val="0"/>
          <w:marTop w:val="0"/>
          <w:marBottom w:val="0"/>
          <w:divBdr>
            <w:top w:val="none" w:sz="0" w:space="0" w:color="auto"/>
            <w:left w:val="none" w:sz="0" w:space="0" w:color="auto"/>
            <w:bottom w:val="none" w:sz="0" w:space="0" w:color="auto"/>
            <w:right w:val="none" w:sz="0" w:space="0" w:color="auto"/>
          </w:divBdr>
          <w:divsChild>
            <w:div w:id="1762986556">
              <w:marLeft w:val="0"/>
              <w:marRight w:val="0"/>
              <w:marTop w:val="0"/>
              <w:marBottom w:val="0"/>
              <w:divBdr>
                <w:top w:val="dashed" w:sz="2" w:space="0" w:color="FFFFFF"/>
                <w:left w:val="dashed" w:sz="2" w:space="0" w:color="FFFFFF"/>
                <w:bottom w:val="dashed" w:sz="2" w:space="0" w:color="FFFFFF"/>
                <w:right w:val="dashed" w:sz="2" w:space="0" w:color="FFFFFF"/>
              </w:divBdr>
              <w:divsChild>
                <w:div w:id="1016810287">
                  <w:marLeft w:val="0"/>
                  <w:marRight w:val="0"/>
                  <w:marTop w:val="0"/>
                  <w:marBottom w:val="0"/>
                  <w:divBdr>
                    <w:top w:val="dashed" w:sz="2" w:space="0" w:color="FFFFFF"/>
                    <w:left w:val="dashed" w:sz="2" w:space="0" w:color="FFFFFF"/>
                    <w:bottom w:val="dashed" w:sz="2" w:space="0" w:color="FFFFFF"/>
                    <w:right w:val="dashed" w:sz="2" w:space="0" w:color="FFFFFF"/>
                  </w:divBdr>
                  <w:divsChild>
                    <w:div w:id="72053473">
                      <w:marLeft w:val="0"/>
                      <w:marRight w:val="0"/>
                      <w:marTop w:val="0"/>
                      <w:marBottom w:val="0"/>
                      <w:divBdr>
                        <w:top w:val="dashed" w:sz="2" w:space="0" w:color="FFFFFF"/>
                        <w:left w:val="dashed" w:sz="2" w:space="0" w:color="FFFFFF"/>
                        <w:bottom w:val="dashed" w:sz="2" w:space="0" w:color="FFFFFF"/>
                        <w:right w:val="dashed" w:sz="2" w:space="0" w:color="FFFFFF"/>
                      </w:divBdr>
                      <w:divsChild>
                        <w:div w:id="9012580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Cultura\sintact%204.0\cache\Legislatie\temp393782\0009774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PaulConstantin201</cp:lastModifiedBy>
  <cp:revision>2</cp:revision>
  <cp:lastPrinted>2023-01-17T12:23:00Z</cp:lastPrinted>
  <dcterms:created xsi:type="dcterms:W3CDTF">2023-01-12T11:51:00Z</dcterms:created>
  <dcterms:modified xsi:type="dcterms:W3CDTF">2023-01-17T12:23:00Z</dcterms:modified>
</cp:coreProperties>
</file>